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509E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O WYCENĘ WARTOŚCI NIEMATERIALNYCH I PRAWNYCH</w:t>
      </w:r>
    </w:p>
    <w:p w14:paraId="23C391D8" w14:textId="77777777" w:rsidR="007F7E43" w:rsidRDefault="009A724F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W0I.NI.4211.WYC.???/W0I/2020</w:t>
      </w:r>
    </w:p>
    <w:p w14:paraId="20BEDA25" w14:textId="77777777" w:rsidR="007F7E43" w:rsidRDefault="007F7E43">
      <w:pPr>
        <w:widowControl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38CA4" w14:textId="77777777" w:rsidR="007F7E43" w:rsidRDefault="007F7E43">
      <w:pPr>
        <w:rPr>
          <w:rFonts w:asciiTheme="minorHAnsi" w:hAnsiTheme="minorHAnsi" w:cstheme="minorHAnsi"/>
          <w:sz w:val="22"/>
          <w:szCs w:val="22"/>
        </w:rPr>
      </w:pPr>
    </w:p>
    <w:p w14:paraId="6CF74931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 pomiędzy:</w:t>
      </w:r>
    </w:p>
    <w:p w14:paraId="65BFBFEE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UNIWERSYTETEM PRZYRODNICZYM WE WROCŁAWIU, </w:t>
      </w:r>
      <w:r>
        <w:rPr>
          <w:rFonts w:asciiTheme="minorHAnsi" w:hAnsiTheme="minorHAnsi" w:cstheme="minorHAnsi"/>
          <w:szCs w:val="22"/>
        </w:rPr>
        <w:t xml:space="preserve">z siedzibą we Wrocławiu, ul. C.K. Norwida 25/27, 50-375 Wrocław, NIP: 896-000-53-54, REGON: </w:t>
      </w:r>
      <w:r>
        <w:rPr>
          <w:rFonts w:asciiTheme="minorHAnsi" w:hAnsiTheme="minorHAnsi" w:cstheme="minorHAnsi"/>
          <w:szCs w:val="22"/>
        </w:rPr>
        <w:t>000001867, zwanym dalej</w:t>
      </w:r>
      <w:r>
        <w:rPr>
          <w:rFonts w:asciiTheme="minorHAnsi" w:hAnsiTheme="minorHAnsi" w:cstheme="minorHAnsi"/>
          <w:b/>
          <w:szCs w:val="22"/>
        </w:rPr>
        <w:t xml:space="preserve"> „Zamawiającym”, </w:t>
      </w:r>
      <w:r>
        <w:rPr>
          <w:rFonts w:asciiTheme="minorHAnsi" w:hAnsiTheme="minorHAnsi" w:cstheme="minorHAnsi"/>
          <w:szCs w:val="22"/>
        </w:rPr>
        <w:t>reprezentowanym przez:</w:t>
      </w:r>
      <w:r>
        <w:rPr>
          <w:rFonts w:asciiTheme="minorHAnsi" w:hAnsiTheme="minorHAnsi" w:cstheme="minorHAnsi"/>
          <w:b/>
          <w:szCs w:val="22"/>
        </w:rPr>
        <w:t xml:space="preserve"> Prorektora do spraw innowacji i współpracy z gospodarką,</w:t>
      </w:r>
    </w:p>
    <w:p w14:paraId="0832F34B" w14:textId="77777777" w:rsidR="007F7E43" w:rsidRDefault="009A724F">
      <w:pPr>
        <w:pStyle w:val="Tekstpodstawowywcity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Prof. dr hab. Annę Chełmońską-Soyta,</w:t>
      </w:r>
    </w:p>
    <w:p w14:paraId="25AC31F4" w14:textId="77777777" w:rsidR="007F7E43" w:rsidRDefault="009A724F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A052FD6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………………………………………</w:t>
      </w:r>
    </w:p>
    <w:p w14:paraId="1409088D" w14:textId="77777777" w:rsidR="007F7E43" w:rsidRDefault="009A724F">
      <w:pPr>
        <w:pStyle w:val="Tekstpodstawowywcity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NIP: ………………, REGON: ……………………..</w:t>
      </w:r>
      <w:r>
        <w:rPr>
          <w:rFonts w:asciiTheme="minorHAnsi" w:hAnsiTheme="minorHAnsi" w:cstheme="minorHAnsi"/>
          <w:bCs/>
          <w:szCs w:val="22"/>
        </w:rPr>
        <w:t>, reprezentowaną przez– ……………….., wyłonioną na pod</w:t>
      </w:r>
      <w:r>
        <w:rPr>
          <w:rFonts w:asciiTheme="minorHAnsi" w:hAnsiTheme="minorHAnsi" w:cstheme="minorHAnsi"/>
          <w:bCs/>
          <w:szCs w:val="22"/>
        </w:rPr>
        <w:t>stawie wyników zapytania w dniu ……………. w trybie rozpoznania rynku, zw</w:t>
      </w:r>
      <w:r>
        <w:rPr>
          <w:rFonts w:asciiTheme="minorHAnsi" w:hAnsiTheme="minorHAnsi" w:cstheme="minorHAnsi"/>
          <w:szCs w:val="22"/>
        </w:rPr>
        <w:t>aną dalej</w:t>
      </w:r>
      <w:r>
        <w:rPr>
          <w:rFonts w:asciiTheme="minorHAnsi" w:hAnsiTheme="minorHAnsi" w:cstheme="minorHAnsi"/>
          <w:b/>
          <w:szCs w:val="22"/>
        </w:rPr>
        <w:t xml:space="preserve"> “Wykonawcą”, </w:t>
      </w:r>
    </w:p>
    <w:p w14:paraId="3999BA9A" w14:textId="77777777" w:rsidR="007F7E43" w:rsidRDefault="009A724F">
      <w:pPr>
        <w:pStyle w:val="Tekstpodstawowywcity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o następującej treści:</w:t>
      </w:r>
    </w:p>
    <w:p w14:paraId="59987452" w14:textId="77777777" w:rsidR="007F7E43" w:rsidRDefault="007F7E43">
      <w:pPr>
        <w:pStyle w:val="Tekstpodstawowywcity"/>
        <w:jc w:val="center"/>
        <w:rPr>
          <w:rFonts w:asciiTheme="minorHAnsi" w:hAnsiTheme="minorHAnsi" w:cstheme="minorHAnsi"/>
          <w:szCs w:val="22"/>
        </w:rPr>
      </w:pPr>
    </w:p>
    <w:p w14:paraId="48B3477A" w14:textId="77777777" w:rsidR="007F7E43" w:rsidRDefault="009A724F">
      <w:pPr>
        <w:pStyle w:val="Tekstpodstawowywcity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§ 1</w:t>
      </w:r>
    </w:p>
    <w:p w14:paraId="000BD382" w14:textId="3E49EE10" w:rsidR="007F7E43" w:rsidRDefault="009A724F">
      <w:pPr>
        <w:pStyle w:val="Tekstpodstawowywcity"/>
        <w:numPr>
          <w:ilvl w:val="0"/>
          <w:numId w:val="7"/>
        </w:numPr>
        <w:spacing w:after="240"/>
        <w:ind w:left="426" w:firstLine="0"/>
        <w:contextualSpacing/>
        <w:rPr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 xml:space="preserve">Zamawiający zleca, a Wykonawca przyjmuje do wykonania </w:t>
      </w:r>
      <w:r>
        <w:rPr>
          <w:rFonts w:asciiTheme="minorHAnsi" w:hAnsiTheme="minorHAnsi" w:cstheme="minorHAnsi"/>
          <w:b/>
          <w:szCs w:val="22"/>
        </w:rPr>
        <w:t xml:space="preserve">usługę polegającą na </w:t>
      </w:r>
      <w:r>
        <w:rPr>
          <w:rFonts w:asciiTheme="minorHAnsi" w:hAnsiTheme="minorHAnsi" w:cstheme="minorHAnsi"/>
          <w:szCs w:val="22"/>
        </w:rPr>
        <w:t>wycenie 8 rozwiązań obejmujących:</w:t>
      </w:r>
    </w:p>
    <w:p w14:paraId="60BDC956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 Technologię opraco</w:t>
      </w:r>
      <w:r>
        <w:rPr>
          <w:rFonts w:asciiTheme="minorHAnsi" w:hAnsiTheme="minorHAnsi" w:cstheme="minorHAnsi"/>
          <w:sz w:val="22"/>
          <w:szCs w:val="22"/>
        </w:rPr>
        <w:t xml:space="preserve">waną w ramach projektu Inkubator Innowacyjności 2.0 pn. „Sposób rewitalizacji składowisk mineralnych, zwłaszcza gruntów </w:t>
      </w:r>
      <w:proofErr w:type="spellStart"/>
      <w:r>
        <w:rPr>
          <w:rFonts w:asciiTheme="minorHAnsi" w:hAnsiTheme="minorHAnsi" w:cstheme="minorHAnsi"/>
          <w:sz w:val="22"/>
          <w:szCs w:val="22"/>
        </w:rPr>
        <w:t>bezglebowych</w:t>
      </w:r>
      <w:proofErr w:type="spellEnd"/>
      <w:r>
        <w:rPr>
          <w:rFonts w:asciiTheme="minorHAnsi" w:hAnsiTheme="minorHAnsi" w:cstheme="minorHAnsi"/>
          <w:sz w:val="22"/>
          <w:szCs w:val="22"/>
        </w:rPr>
        <w:t>” w związku z PAT. 215119 zgłoszonym 2.05.2011,</w:t>
      </w:r>
    </w:p>
    <w:p w14:paraId="6BE1E166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Prototyp wykonany w ramach projektu Inkubator Innowacyjności 2.0 pn. „Doz</w:t>
      </w:r>
      <w:r>
        <w:rPr>
          <w:rFonts w:asciiTheme="minorHAnsi" w:hAnsiTheme="minorHAnsi" w:cstheme="minorHAnsi"/>
          <w:sz w:val="22"/>
          <w:szCs w:val="22"/>
        </w:rPr>
        <w:t>ownik masła” (1) zgłoszony do ochrony patentowej 21.05.2018 r, pod numerem P.425641,</w:t>
      </w:r>
    </w:p>
    <w:p w14:paraId="539108E1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>Prototyp pn. „Dozownik masła” (2) zgłoszony do ochrony patentowej 21.05.2018 r, pod numerem P.425642,</w:t>
      </w:r>
    </w:p>
    <w:p w14:paraId="7E0E7F45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>Prototyp wykonany w ramach projektu Inkubator Innowacyjności 2.</w:t>
      </w:r>
      <w:r>
        <w:rPr>
          <w:rFonts w:asciiTheme="minorHAnsi" w:hAnsiTheme="minorHAnsi" w:cstheme="minorHAnsi"/>
          <w:sz w:val="22"/>
          <w:szCs w:val="22"/>
        </w:rPr>
        <w:t>0 pn. „Dozownik masła” (3) zgłoszony do ochrony patentowej 21.05.2018 r, pod numerem P.425643,</w:t>
      </w:r>
    </w:p>
    <w:p w14:paraId="0D356A9D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Technologię opracowaną w ramach projektu Inkubator Innowacyjności 2.0 pn. „Produkcja hydrolizatów odpadów drobiowych w wyniku procesów mikrobiologicznych i au</w:t>
      </w:r>
      <w:r>
        <w:rPr>
          <w:rFonts w:asciiTheme="minorHAnsi" w:hAnsiTheme="minorHAnsi" w:cstheme="minorHAnsi"/>
          <w:sz w:val="22"/>
          <w:szCs w:val="22"/>
        </w:rPr>
        <w:t>tolitycznych” związaną  z PAT. 216731,</w:t>
      </w:r>
    </w:p>
    <w:p w14:paraId="5547B5EB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  <w:t>Technologię opracowaną w ramach projektu Inkubator Innowacyjności 2.0, pn. „Ekstrakcja enzymatyczna kolagenu w formie żelatyny z surowców kostnych zwierząt rzeźnych” związaną ze zgłoszeniem patentowym P.425867 i wy</w:t>
      </w:r>
      <w:r>
        <w:rPr>
          <w:rFonts w:asciiTheme="minorHAnsi" w:hAnsiTheme="minorHAnsi" w:cstheme="minorHAnsi"/>
          <w:sz w:val="22"/>
          <w:szCs w:val="22"/>
        </w:rPr>
        <w:t xml:space="preserve">nalazkiem chronionym PAT. 227382, </w:t>
      </w:r>
    </w:p>
    <w:p w14:paraId="3B1ACAA5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  <w:t xml:space="preserve">Technologię opracowaną w ramach projektu Inkubator Innowacyjności 2.0, pn. „Produkt spożywczy do smarowania pieczywa o wzmocnionych właściwościach prozdrowotnych”, </w:t>
      </w:r>
    </w:p>
    <w:p w14:paraId="0DDCE05B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Technologię opracowaną ramach projektu Inkubator Innowacyjności 2.0, pn. „Barwne dodatki fortyfikujące wodę pitną”. </w:t>
      </w:r>
    </w:p>
    <w:p w14:paraId="6D97B050" w14:textId="77777777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F53E22C" w14:textId="77777777" w:rsidR="007F7E43" w:rsidRDefault="009A724F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celu wykonania zadań i czynności zaplanowanych  w projekcie Inkubator Innowacyjności 2.0</w:t>
      </w:r>
    </w:p>
    <w:p w14:paraId="0018AE98" w14:textId="77777777" w:rsidR="007F7E43" w:rsidRDefault="007F7E43">
      <w:pPr>
        <w:spacing w:after="240"/>
        <w:ind w:left="10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64E9AE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2. Przedmiot umowy zdefiniowany w ust 1 niniejszego paragrafu określany będzie w dalszej części umowy jako „Wycena”. </w:t>
      </w:r>
    </w:p>
    <w:p w14:paraId="0F65A456" w14:textId="77777777" w:rsidR="007F7E43" w:rsidRDefault="009A724F">
      <w:pPr>
        <w:pStyle w:val="Tekstpodstawowy"/>
        <w:tabs>
          <w:tab w:val="left" w:pos="1800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Szczegółowy zakres prac w ramach Wyceny obejmuje: </w:t>
      </w:r>
    </w:p>
    <w:p w14:paraId="495E2ED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_DdeLink__850_3848411991"/>
      <w:r>
        <w:rPr>
          <w:rFonts w:asciiTheme="minorHAnsi" w:hAnsiTheme="minorHAnsi" w:cstheme="minorHAnsi"/>
          <w:sz w:val="22"/>
          <w:szCs w:val="22"/>
        </w:rPr>
        <w:t xml:space="preserve">Analizę wstępną, zmierzającą do szczegółowej identyfikacji i ustalenia możliwych do </w:t>
      </w:r>
      <w:r>
        <w:rPr>
          <w:rFonts w:asciiTheme="minorHAnsi" w:hAnsiTheme="minorHAnsi" w:cstheme="minorHAnsi"/>
          <w:sz w:val="22"/>
          <w:szCs w:val="22"/>
        </w:rPr>
        <w:t xml:space="preserve">pozyskania danych wewnętrznych i zewnętrznych niezbędnych dla realizacji Wyceny, </w:t>
      </w:r>
      <w:bookmarkEnd w:id="1"/>
    </w:p>
    <w:p w14:paraId="3D37BF67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Dobór szczegółowej metody Wyceny, która będzie spełniać kryteria akceptowalności z punktu widzenia wymogów prawa bilansowego i podatkowego oraz pozostawać w zgodzie ze standa</w:t>
      </w:r>
      <w:r>
        <w:rPr>
          <w:rFonts w:asciiTheme="minorHAnsi" w:hAnsiTheme="minorHAnsi" w:cstheme="minorHAnsi"/>
          <w:sz w:val="22"/>
          <w:szCs w:val="22"/>
        </w:rPr>
        <w:t xml:space="preserve">rdami postępowania w tym zakresie. </w:t>
      </w:r>
    </w:p>
    <w:p w14:paraId="1EB6AF55" w14:textId="77777777" w:rsidR="007F7E43" w:rsidRDefault="009A724F">
      <w:pPr>
        <w:numPr>
          <w:ilvl w:val="1"/>
          <w:numId w:val="3"/>
        </w:numPr>
        <w:tabs>
          <w:tab w:val="left" w:pos="324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>Przeprowadzenie Wyceny z wykorzystaniem pozyskanych danych określonych w par. 3 oraz opracowanie całościowych pisemnych raportów (dalej „Raporty”), obejmujących co najmniej następujące rozdziały lub podrozdziały: „podsta</w:t>
      </w:r>
      <w:r>
        <w:rPr>
          <w:rFonts w:asciiTheme="minorHAnsi" w:hAnsiTheme="minorHAnsi" w:cstheme="minorHAnsi"/>
          <w:sz w:val="22"/>
          <w:szCs w:val="22"/>
        </w:rPr>
        <w:t>wa prawna wyceny, cel i cechy wyceny, opis przedmiotu wyceny, analiza potencjału rynkowego, w tym oszacowaniem liczebności grupy docelowej i zapotrzebowaniem na rozwiązanie/technologię, analizę konkurencji i rozwiązań alternatywnych lub istniejących substy</w:t>
      </w:r>
      <w:r>
        <w:rPr>
          <w:rFonts w:asciiTheme="minorHAnsi" w:hAnsiTheme="minorHAnsi" w:cstheme="minorHAnsi"/>
          <w:sz w:val="22"/>
          <w:szCs w:val="22"/>
        </w:rPr>
        <w:t>tutów, ustalenie poziomu gotowości technologicznej do wdrożenia przedmiotu wyceny, dobór metody wyceny, źródła informacji, wynik wyceny, optymalne drogi i ścieżki komercjalizacji przedmiotu wyceny, wyliczenia, załączniki zawierające istotne dane użyte w pr</w:t>
      </w:r>
      <w:r>
        <w:rPr>
          <w:rFonts w:asciiTheme="minorHAnsi" w:hAnsiTheme="minorHAnsi" w:cstheme="minorHAnsi"/>
          <w:sz w:val="22"/>
          <w:szCs w:val="22"/>
        </w:rPr>
        <w:t>ocesie wyceny”. Raporty zostaną sporządzone przez Wykonawcę w formie pisemnej w języku polskim z uwzględnieniem stanu faktycznego i prawnego na dzień ich wykonania.</w:t>
      </w:r>
    </w:p>
    <w:p w14:paraId="61710C58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Zamawiający zobowiązuje się do dostarczenia wszelkich znanych i dostępnych mu istotnych </w:t>
      </w:r>
      <w:r>
        <w:rPr>
          <w:rFonts w:asciiTheme="minorHAnsi" w:hAnsiTheme="minorHAnsi" w:cstheme="minorHAnsi"/>
          <w:sz w:val="22"/>
          <w:szCs w:val="22"/>
        </w:rPr>
        <w:t>danych prawnych, ekonomicznych i marketingowych oraz innych informacji o charakterze wewnętrznym, umożliwiających lub ułatwiających przeprowadzenia Wyceny.</w:t>
      </w:r>
    </w:p>
    <w:p w14:paraId="48F37C3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 Wycena zostanie zrealizowana przy zastosowaniu wybranych metod szczegółowych w podejściu rynkowym</w:t>
      </w:r>
      <w:r>
        <w:rPr>
          <w:rFonts w:asciiTheme="minorHAnsi" w:hAnsiTheme="minorHAnsi" w:cstheme="minorHAnsi"/>
          <w:sz w:val="22"/>
          <w:szCs w:val="22"/>
        </w:rPr>
        <w:t xml:space="preserve"> oraz dochodowym.</w:t>
      </w:r>
    </w:p>
    <w:p w14:paraId="3FF10134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6. Wykonawca zobowiązuje się do przeprowadzenia wyceny w terminie 30 dni od dnia podpisania umowy w sposób który pozwoli na jej wykorzystanie do celów komercjalizacji bezpośredniej niniejszych wynalazków i zgłoszeń patentowych.</w:t>
      </w:r>
    </w:p>
    <w:p w14:paraId="1BC7FCB6" w14:textId="77777777" w:rsidR="007F7E43" w:rsidRDefault="009A724F">
      <w:pPr>
        <w:pStyle w:val="Tekstpodstawowy"/>
        <w:tabs>
          <w:tab w:val="left" w:pos="1872"/>
        </w:tabs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Wykonaw</w:t>
      </w:r>
      <w:r>
        <w:rPr>
          <w:rFonts w:asciiTheme="minorHAnsi" w:hAnsiTheme="minorHAnsi" w:cstheme="minorHAnsi"/>
          <w:sz w:val="22"/>
          <w:szCs w:val="22"/>
        </w:rPr>
        <w:t xml:space="preserve">ca oświadcza, że prace opisane w ustępie 1 i 2 zostaną przez niego wykonane z dołożeniem należytej staranności i zawodowej sumienności zgodnie z wymogami oraz z poszanowaniem obowiązujących przepisów prawa i standardów postępowania a także praktyką wyceny </w:t>
      </w:r>
      <w:r>
        <w:rPr>
          <w:rFonts w:asciiTheme="minorHAnsi" w:hAnsiTheme="minorHAnsi" w:cstheme="minorHAnsi"/>
          <w:sz w:val="22"/>
          <w:szCs w:val="22"/>
        </w:rPr>
        <w:t xml:space="preserve">wartości niematerialnych i prawnych dla potrzeb transakcyjnych, z uwzględnieniem stanu faktycznego i prawnego na dzień wykonania usługi. Jednocześnie Wykonawca oświadcza, że: </w:t>
      </w:r>
    </w:p>
    <w:p w14:paraId="62369D45" w14:textId="77777777" w:rsidR="007F7E43" w:rsidRDefault="009A724F">
      <w:pPr>
        <w:pStyle w:val="Tekstpodstawowy"/>
        <w:spacing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a)dysponuje koniecznym doświadczeniem i profesjonalnymi kwalifikacjami, wiedzą t</w:t>
      </w:r>
      <w:r>
        <w:rPr>
          <w:rFonts w:asciiTheme="minorHAnsi" w:hAnsiTheme="minorHAnsi" w:cstheme="minorHAnsi"/>
          <w:sz w:val="22"/>
          <w:szCs w:val="22"/>
        </w:rPr>
        <w:t>eoretyczną i umiejętnościami praktycznymi niezbędnymi do prawidłowego i zgodnego z prawem wykonania prac objętych niniejszą umową,</w:t>
      </w:r>
    </w:p>
    <w:p w14:paraId="643C4106" w14:textId="77777777" w:rsidR="007F7E43" w:rsidRDefault="009A724F">
      <w:pPr>
        <w:pStyle w:val="Tekstpodstawowy"/>
        <w:spacing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b)nie ma konfliktu interesów ze Zleceniodawcą oraz nie prowadzi działalności konkurencyjnej w stosunku do Zleceniodawcy,</w:t>
      </w:r>
    </w:p>
    <w:p w14:paraId="76975EAA" w14:textId="77777777" w:rsidR="007F7E43" w:rsidRDefault="009A724F">
      <w:pPr>
        <w:pStyle w:val="Tekstpodstawowy"/>
        <w:spacing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c)po</w:t>
      </w:r>
      <w:r>
        <w:rPr>
          <w:rFonts w:asciiTheme="minorHAnsi" w:hAnsiTheme="minorHAnsi" w:cstheme="minorHAnsi"/>
          <w:sz w:val="22"/>
          <w:szCs w:val="22"/>
        </w:rPr>
        <w:t xml:space="preserve">siada potencjał ekonomiczny i techniczny, a także pracowników dla prawidłowego wykonania umowy. </w:t>
      </w:r>
    </w:p>
    <w:p w14:paraId="281797A5" w14:textId="77777777" w:rsidR="007F7E43" w:rsidRDefault="007F7E43">
      <w:pPr>
        <w:pStyle w:val="Tekstpodstawowy"/>
        <w:tabs>
          <w:tab w:val="left" w:pos="1872"/>
        </w:tabs>
        <w:spacing w:line="240" w:lineRule="auto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C216065" w14:textId="77777777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bookmarkStart w:id="2" w:name="__DdeLink__2539_1308847427"/>
      <w:r>
        <w:rPr>
          <w:rFonts w:asciiTheme="minorHAnsi" w:hAnsiTheme="minorHAnsi" w:cstheme="minorHAnsi"/>
          <w:sz w:val="22"/>
          <w:szCs w:val="22"/>
        </w:rPr>
        <w:t>§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177BD929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do zachowania w tajemnicy: </w:t>
      </w:r>
    </w:p>
    <w:p w14:paraId="0546C4E7" w14:textId="77777777" w:rsidR="007F7E43" w:rsidRPr="00FB30CA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sz w:val="22"/>
          <w:szCs w:val="22"/>
        </w:rPr>
      </w:pPr>
      <w:r w:rsidRPr="00FB30CA">
        <w:rPr>
          <w:rFonts w:asciiTheme="minorHAnsi" w:hAnsiTheme="minorHAnsi" w:cstheme="minorHAnsi"/>
          <w:sz w:val="22"/>
          <w:szCs w:val="22"/>
        </w:rPr>
        <w:t>wszelkich informacji dotyczących zawarcia i wykonania niniejszej umowy</w:t>
      </w:r>
      <w:r w:rsidRPr="00FB30CA">
        <w:rPr>
          <w:rFonts w:asciiTheme="minorHAnsi" w:hAnsiTheme="minorHAnsi" w:cstheme="minorHAnsi"/>
          <w:sz w:val="22"/>
          <w:szCs w:val="22"/>
        </w:rPr>
        <w:t xml:space="preserve">, (w tym zawartych w </w:t>
      </w:r>
      <w:r w:rsidRPr="00FB30CA">
        <w:rPr>
          <w:rFonts w:asciiTheme="minorHAnsi" w:hAnsiTheme="minorHAnsi" w:cstheme="minorHAnsi"/>
          <w:sz w:val="22"/>
          <w:szCs w:val="22"/>
        </w:rPr>
        <w:t>Raportach)</w:t>
      </w:r>
      <w:r w:rsidRPr="00FB30CA">
        <w:rPr>
          <w:rFonts w:asciiTheme="minorHAnsi" w:hAnsiTheme="minorHAnsi" w:cstheme="minorHAnsi"/>
          <w:sz w:val="22"/>
          <w:szCs w:val="22"/>
        </w:rPr>
        <w:t xml:space="preserve">, w szczególności wszelkich przekazanych mu na potrzeby sporządzenia wyceny informacji </w:t>
      </w:r>
      <w:r w:rsidRPr="00FB30CA">
        <w:rPr>
          <w:rFonts w:asciiTheme="minorHAnsi" w:hAnsiTheme="minorHAnsi" w:cstheme="minorHAnsi"/>
          <w:sz w:val="22"/>
          <w:szCs w:val="22"/>
        </w:rPr>
        <w:lastRenderedPageBreak/>
        <w:t>dotyczących wynalazków</w:t>
      </w:r>
      <w:r w:rsidRPr="00FB30CA">
        <w:rPr>
          <w:rFonts w:asciiTheme="minorHAnsi" w:hAnsiTheme="minorHAnsi" w:cstheme="minorHAnsi"/>
          <w:sz w:val="22"/>
          <w:szCs w:val="22"/>
        </w:rPr>
        <w:t xml:space="preserve"> </w:t>
      </w:r>
      <w:r w:rsidRPr="00FB30CA">
        <w:rPr>
          <w:rFonts w:asciiTheme="minorHAnsi" w:hAnsiTheme="minorHAnsi" w:cstheme="minorHAnsi"/>
          <w:sz w:val="22"/>
          <w:szCs w:val="22"/>
        </w:rPr>
        <w:t>i technologii</w:t>
      </w:r>
      <w:r w:rsidRPr="00FB30CA">
        <w:rPr>
          <w:rFonts w:asciiTheme="minorHAnsi" w:hAnsiTheme="minorHAnsi" w:cstheme="minorHAnsi"/>
          <w:sz w:val="22"/>
          <w:szCs w:val="22"/>
        </w:rPr>
        <w:t>, o których mowa w § 1 ust. 1</w:t>
      </w:r>
      <w:r w:rsidRPr="00FB30CA">
        <w:rPr>
          <w:rFonts w:asciiTheme="minorHAnsi" w:hAnsiTheme="minorHAnsi" w:cstheme="minorHAnsi"/>
          <w:sz w:val="22"/>
          <w:szCs w:val="22"/>
        </w:rPr>
        <w:t xml:space="preserve">  Wykonawca zobowiązuje się do zwrotu wszystkich materiałów przekazanych przez Zleceniodawcę w</w:t>
      </w:r>
      <w:r w:rsidRPr="00FB30CA">
        <w:rPr>
          <w:rFonts w:asciiTheme="minorHAnsi" w:hAnsiTheme="minorHAnsi" w:cstheme="minorHAnsi"/>
          <w:sz w:val="22"/>
          <w:szCs w:val="22"/>
        </w:rPr>
        <w:t xml:space="preserve"> formie pisemnej oraz do zniszczenia wszelkich kopii ww. materiałów w tym materiałów otrzymanych w formie elektronicznej,</w:t>
      </w:r>
    </w:p>
    <w:p w14:paraId="06FC7E94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wszelkich informacji i danych dotyczących Zamawiającego, jego działalności, kontrahentów, transakcji handlowych, produktów, cen, taryf</w:t>
      </w:r>
      <w:r>
        <w:rPr>
          <w:rFonts w:asciiTheme="minorHAnsi" w:hAnsiTheme="minorHAnsi" w:cstheme="minorHAnsi"/>
          <w:sz w:val="22"/>
          <w:szCs w:val="22"/>
        </w:rPr>
        <w:t>, opłat, struktury organizacyjnej i prawnej, danych sprzedażowych, cenowych, marketingowych, polityki cenowej i marketingowej, tajemnic handlowych, strategii biznesowych i handlowych, stanu finansów, planów, know-how, technologii, procesów produkcyjnych, u</w:t>
      </w:r>
      <w:r>
        <w:rPr>
          <w:rFonts w:asciiTheme="minorHAnsi" w:hAnsiTheme="minorHAnsi" w:cstheme="minorHAnsi"/>
          <w:sz w:val="22"/>
          <w:szCs w:val="22"/>
        </w:rPr>
        <w:t>mów, zasad prowadzenia działalności, pracowników, dostawców, stosunków handlowych oraz innych spraw i informacji natury poufnej uzyskanych przez Wykonawcę w związku z zawarciem i wykonaniem niniejszej umowy w jakiejkolwiek formie, w tym w formie dokumentów</w:t>
      </w:r>
      <w:r>
        <w:rPr>
          <w:rFonts w:asciiTheme="minorHAnsi" w:hAnsiTheme="minorHAnsi" w:cstheme="minorHAnsi"/>
          <w:sz w:val="22"/>
          <w:szCs w:val="22"/>
        </w:rPr>
        <w:t xml:space="preserve"> lub nośników elektronicznych, rysunków, wydruków, próbek oraz informacji w formie ustnej.</w:t>
      </w:r>
    </w:p>
    <w:p w14:paraId="1F90B122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Obowiązek zachowania tajemnicy, o którym mowa w ustępie 1 niniejszego paragrafu, dotyczy również wszystkich osób, którymi Wykonawca posługuje się przy wykonywaniu ni</w:t>
      </w:r>
      <w:r>
        <w:rPr>
          <w:rFonts w:asciiTheme="minorHAnsi" w:hAnsiTheme="minorHAnsi" w:cstheme="minorHAnsi"/>
          <w:sz w:val="22"/>
          <w:szCs w:val="22"/>
        </w:rPr>
        <w:t>niejszej umowy, w szczególności pracowników i współpracowników Wykonawcy. Wykonawca jest zobowiązany zapewnić przestrzeganie przez osoby wskazane w zdaniu poprzedzającym zasad poufności w stopniu nie mniejszym niż określony niniejszą umową. Za naruszenie o</w:t>
      </w:r>
      <w:r>
        <w:rPr>
          <w:rFonts w:asciiTheme="minorHAnsi" w:hAnsiTheme="minorHAnsi" w:cstheme="minorHAnsi"/>
          <w:sz w:val="22"/>
          <w:szCs w:val="22"/>
        </w:rPr>
        <w:t xml:space="preserve">bowiązku zachowania tajemnicy przez osoby określone w zdaniu poprzedzającym Wykonawca odpowiada jak za działania własne. </w:t>
      </w:r>
      <w:r>
        <w:rPr>
          <w:rFonts w:asciiTheme="minorHAnsi" w:hAnsiTheme="minorHAnsi" w:cstheme="minorHAnsi"/>
          <w:sz w:val="22"/>
          <w:szCs w:val="22"/>
        </w:rPr>
        <w:t xml:space="preserve">Obowiązek zachowania tajemnicy, o którym mowa w ustępie 1 i 2 niniejszego paragrafu, utrzymuje się przez cały okres trwania niniejszej </w:t>
      </w:r>
      <w:r>
        <w:rPr>
          <w:rFonts w:asciiTheme="minorHAnsi" w:hAnsiTheme="minorHAnsi" w:cstheme="minorHAnsi"/>
          <w:sz w:val="22"/>
          <w:szCs w:val="22"/>
        </w:rPr>
        <w:t>umowy, jak również przez okres 10 lat po jej rozwiązaniu i wygaśnięciu. Jeśli po upływie okresu wskazanego w zdaniu poprzednim określone informacje mają w dalszym ciągu charakter informacji poufnych, zobowiązania wskazane w niniejszym paragrafie obowiązują</w:t>
      </w:r>
      <w:r>
        <w:rPr>
          <w:rFonts w:asciiTheme="minorHAnsi" w:hAnsiTheme="minorHAnsi" w:cstheme="minorHAnsi"/>
          <w:sz w:val="22"/>
          <w:szCs w:val="22"/>
        </w:rPr>
        <w:t xml:space="preserve"> dalej przez okres, w jakim informacje mają charakter informacji poufnych. </w:t>
      </w:r>
    </w:p>
    <w:p w14:paraId="0CE8362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Obowiązek zachowania tajemnicy nie dotyczy informacji poufnych, które:</w:t>
      </w:r>
    </w:p>
    <w:p w14:paraId="43713C1F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zostały podane do powszechnej </w:t>
      </w:r>
      <w:r>
        <w:rPr>
          <w:rFonts w:asciiTheme="minorHAnsi" w:hAnsiTheme="minorHAnsi" w:cstheme="minorHAnsi"/>
          <w:sz w:val="22"/>
          <w:szCs w:val="22"/>
        </w:rPr>
        <w:t>wiadomości bez naruszenia przepisów prawa;</w:t>
      </w:r>
    </w:p>
    <w:p w14:paraId="6A1C4A93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muszą zostać ujawnione na żądanie uprawnionego organu państwowego lub Sądu, działających w granicach swych kompetencji,</w:t>
      </w:r>
    </w:p>
    <w:p w14:paraId="5A65D705" w14:textId="77777777" w:rsidR="007F7E43" w:rsidRDefault="009A724F">
      <w:pPr>
        <w:pStyle w:val="Tekstpodstawowy"/>
        <w:numPr>
          <w:ilvl w:val="1"/>
          <w:numId w:val="5"/>
        </w:numPr>
        <w:spacing w:line="240" w:lineRule="auto"/>
        <w:ind w:left="788" w:hanging="43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muszą zostać ujawnione w ramach wymaganych prawem obowiązków publikacyjnych Zleceniodawcy.</w:t>
      </w:r>
    </w:p>
    <w:p w14:paraId="0FF6D10E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przypadku otrzymania przez Wykonawcę żądania ujawnienia jakiejkolwiek części lub całości Informacji Poufnych na podstawie orzeczenia Sądu lub decyzji organu państwowego, jak również w przypadku zaistnienia takiego wymogu z mocy prawa, Wykonawca niezwłoczni</w:t>
      </w:r>
      <w:r>
        <w:rPr>
          <w:rFonts w:asciiTheme="minorHAnsi" w:hAnsiTheme="minorHAnsi" w:cstheme="minorHAnsi"/>
          <w:sz w:val="22"/>
          <w:szCs w:val="22"/>
        </w:rPr>
        <w:t>e poinformuje Zamawiającego o wystąpieniu z takim żądaniem oraz o   warunkach i okolicznościach w jakich to nastąpiło.</w:t>
      </w:r>
    </w:p>
    <w:p w14:paraId="0ABED1B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właściwego zabezpieczenia materiałów zawierających informacje poufne Zleceniodawcy oraz do zniszczenia kopii</w:t>
      </w:r>
      <w:r>
        <w:rPr>
          <w:rFonts w:asciiTheme="minorHAnsi" w:hAnsiTheme="minorHAnsi" w:cstheme="minorHAnsi"/>
          <w:sz w:val="22"/>
          <w:szCs w:val="22"/>
        </w:rPr>
        <w:t xml:space="preserve"> tych materiałów i zapisów elektronicznych w momencie, w którym uzna, że jego interes prawny oraz interes prawny Zleceniodawcy zostały należycie zabezpieczone.</w:t>
      </w:r>
    </w:p>
    <w:p w14:paraId="557F3157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 Raporty powstałe przy wykonaniu niniejszej umowy będą wynikiem jego osob</w:t>
      </w:r>
      <w:r>
        <w:rPr>
          <w:rFonts w:asciiTheme="minorHAnsi" w:hAnsiTheme="minorHAnsi" w:cstheme="minorHAnsi"/>
          <w:sz w:val="22"/>
          <w:szCs w:val="22"/>
        </w:rPr>
        <w:t>istej pracy i nie będą naruszać praw osobistych i/lub majątkowych osób trzecich. Przy opracowaniu Raportów Wykonawca może korzystać z udostępnionych mu zasobów osób trzecich lub usług innych osób, których wkład będzie miał tego typu charakter, że nie dopro</w:t>
      </w:r>
      <w:r>
        <w:rPr>
          <w:rFonts w:asciiTheme="minorHAnsi" w:hAnsiTheme="minorHAnsi" w:cstheme="minorHAnsi"/>
          <w:sz w:val="22"/>
          <w:szCs w:val="22"/>
        </w:rPr>
        <w:t>wadzi do powstania na ich rzecz praw autorskich.</w:t>
      </w:r>
    </w:p>
    <w:p w14:paraId="0B94BFBC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 , że: </w:t>
      </w:r>
    </w:p>
    <w:p w14:paraId="648C3CB4" w14:textId="77777777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chwilą przekazania utworów-raportów Wykonawca, w ramach wynagrodzenia określonego w § 4 ust. 1, przenosi na Zamawiającego autorskie prawa majątkowe do utworu oraz wyłączne prawo </w:t>
      </w:r>
      <w:r>
        <w:rPr>
          <w:rFonts w:asciiTheme="minorHAnsi" w:hAnsiTheme="minorHAnsi" w:cstheme="minorHAnsi"/>
          <w:sz w:val="22"/>
          <w:szCs w:val="22"/>
        </w:rPr>
        <w:t>zlecania i dokonywania wszelkich zmian, opracowań, przeróbek, aktualizacji i uzupełnień utworu oraz zezwala na wykonywanie zależnych praw autorskich, a także przenosi na Zamawiającego wyłączne prawo zezwalania na wykonywanie zależnych praw autorskich, na w</w:t>
      </w:r>
      <w:r>
        <w:rPr>
          <w:rFonts w:asciiTheme="minorHAnsi" w:hAnsiTheme="minorHAnsi" w:cstheme="minorHAnsi"/>
          <w:sz w:val="22"/>
          <w:szCs w:val="22"/>
        </w:rPr>
        <w:t>szelkich polach eksploatacji, a w szczególności:</w:t>
      </w:r>
    </w:p>
    <w:p w14:paraId="7301A213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w zakresie utrwalania i zwielokrotniania utworu - wytwarzanie dowolną techniką egzemplarzy </w:t>
      </w:r>
      <w:r>
        <w:rPr>
          <w:rFonts w:asciiTheme="minorHAnsi" w:hAnsiTheme="minorHAnsi" w:cstheme="minorHAnsi"/>
          <w:sz w:val="22"/>
          <w:szCs w:val="22"/>
        </w:rPr>
        <w:lastRenderedPageBreak/>
        <w:t>utworu, w tym techniką drukarską, reprograficzną, zapisu magnetycznego oraz techniką cyfrową,</w:t>
      </w:r>
    </w:p>
    <w:p w14:paraId="20B3A731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w zakresie obrot</w:t>
      </w:r>
      <w:r>
        <w:rPr>
          <w:rFonts w:asciiTheme="minorHAnsi" w:hAnsiTheme="minorHAnsi" w:cstheme="minorHAnsi"/>
          <w:sz w:val="22"/>
          <w:szCs w:val="22"/>
        </w:rPr>
        <w:t>u oryginałem albo egzemplarzami, na których utwory utrwalono - wprowadzanie do obrotu, użyczenie lub najem oryginału albo egzemplarzy;</w:t>
      </w:r>
    </w:p>
    <w:p w14:paraId="2721D90C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w zakresie rozpowszechniania utworu w sposób inny niż określony w pkt b - publiczne wykonanie, wystawienie, wyświetlen</w:t>
      </w:r>
      <w:r>
        <w:rPr>
          <w:rFonts w:asciiTheme="minorHAnsi" w:hAnsiTheme="minorHAnsi" w:cstheme="minorHAnsi"/>
          <w:sz w:val="22"/>
          <w:szCs w:val="22"/>
        </w:rPr>
        <w:t>ie, odtworzenie oraz nadawanie i reemitowanie, a także publiczne udostępnianie utworu w taki sposób, aby każdy mógł mieć do niego dostęp w miejscu i w czasie przez siebie wybranym,</w:t>
      </w:r>
    </w:p>
    <w:p w14:paraId="58905775" w14:textId="77777777" w:rsidR="007F7E43" w:rsidRDefault="009A724F">
      <w:pPr>
        <w:pStyle w:val="Tekstpodstawowy"/>
        <w:spacing w:before="0" w:after="0" w:line="24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d) dowolne korzystanie z Raportów w działalności Zamawiającego. </w:t>
      </w:r>
    </w:p>
    <w:p w14:paraId="347802E3" w14:textId="77777777" w:rsidR="007F7E43" w:rsidRDefault="009A724F">
      <w:pPr>
        <w:pStyle w:val="Tekstpodstawowy"/>
        <w:numPr>
          <w:ilvl w:val="1"/>
          <w:numId w:val="5"/>
        </w:numPr>
        <w:spacing w:before="0" w:after="0" w:line="240" w:lineRule="auto"/>
        <w:ind w:left="7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Prawa </w:t>
      </w:r>
      <w:r>
        <w:rPr>
          <w:rFonts w:asciiTheme="minorHAnsi" w:hAnsiTheme="minorHAnsi" w:cstheme="minorHAnsi"/>
          <w:sz w:val="22"/>
          <w:szCs w:val="22"/>
        </w:rPr>
        <w:t>autorskie do Raportów powstałe na podstawie niniejszej umowy nie będą obciążone ani ograniczone w żaden sposób na rzecz osób trzecich.</w:t>
      </w:r>
    </w:p>
    <w:p w14:paraId="7B13A11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przyjmuje do wiadomości, że Raporty z wyceny mogą stanowić utwór w rozumieniu art. 1 ust.1 ustawy z dnia 04 l</w:t>
      </w:r>
      <w:r>
        <w:rPr>
          <w:rFonts w:asciiTheme="minorHAnsi" w:hAnsiTheme="minorHAnsi" w:cstheme="minorHAnsi"/>
          <w:sz w:val="22"/>
          <w:szCs w:val="22"/>
        </w:rPr>
        <w:t>utego 1994 roku o prawie autorskim i prawach pokrewnych, do którego Wykonawcy mogą przysługiwać jako autorowi prawa określone w art. 16 wymienionej wyżej ustawy.</w:t>
      </w:r>
    </w:p>
    <w:p w14:paraId="3B170AE1" w14:textId="77777777" w:rsidR="007F7E43" w:rsidRDefault="009A724F">
      <w:pPr>
        <w:pStyle w:val="Tekstpodstawow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Na mocy niniejszej umowy Wykonawca przenosi na Zamawiającego prawo własności wszystkich egzemp</w:t>
      </w:r>
      <w:r>
        <w:rPr>
          <w:rFonts w:asciiTheme="minorHAnsi" w:hAnsiTheme="minorHAnsi" w:cstheme="minorHAnsi"/>
          <w:sz w:val="22"/>
          <w:szCs w:val="22"/>
        </w:rPr>
        <w:t>larzy Raportów wręczonych mu przez Wykonawcę zgodnie z postanowieniami umowy. Wynagrodzenie Wykonawcy za wykonanie przedmiotu umowy zgodnie z § 4, obejmuje równocześnie całość należności za przeniesienie na Zleceniodawcę praw, o których mowa w zdaniu poprz</w:t>
      </w:r>
      <w:r>
        <w:rPr>
          <w:rFonts w:asciiTheme="minorHAnsi" w:hAnsiTheme="minorHAnsi" w:cstheme="minorHAnsi"/>
          <w:sz w:val="22"/>
          <w:szCs w:val="22"/>
        </w:rPr>
        <w:t>edzającym.</w:t>
      </w:r>
    </w:p>
    <w:p w14:paraId="7E091D65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9ACB8" w14:textId="77777777" w:rsidR="007F7E43" w:rsidRDefault="007F7E43">
      <w:pPr>
        <w:suppressAutoHyphens w:val="0"/>
        <w:rPr>
          <w:rFonts w:asciiTheme="minorHAnsi" w:hAnsiTheme="minorHAnsi" w:cstheme="minorHAnsi"/>
          <w:sz w:val="24"/>
        </w:rPr>
      </w:pPr>
    </w:p>
    <w:p w14:paraId="7423E096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14:paraId="1F6BE137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ABC53D" w14:textId="77777777" w:rsidR="007F7E43" w:rsidRDefault="009A72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1. Strony przyjmują zasadę wzajemnych konsultacji i współpracy w wymiarze niezbędnym do prawidłowego wykonania niniejszej umowy. Zleceniodawca zapewni Wykonawcy dostępne mu informacje o jej przedmiocie, potencjalnych pożytkach oraz korzyś</w:t>
      </w:r>
      <w:r>
        <w:rPr>
          <w:rFonts w:asciiTheme="minorHAnsi" w:hAnsiTheme="minorHAnsi" w:cstheme="minorHAnsi"/>
          <w:sz w:val="22"/>
          <w:szCs w:val="22"/>
        </w:rPr>
        <w:t>ciach, obszarze zastosowań, charakterze zbliżonych lub konkurencyjnych rozwiązań, jego unikalnych cechach jakościowych, które mogą mieć wpływ na  przewagę konkurencyjną na rynku. Informacje  te i niezbędne materiały będą przekazywane przez Zamawiającego po</w:t>
      </w:r>
      <w:r>
        <w:rPr>
          <w:rFonts w:asciiTheme="minorHAnsi" w:hAnsiTheme="minorHAnsi" w:cstheme="minorHAnsi"/>
          <w:sz w:val="22"/>
          <w:szCs w:val="22"/>
        </w:rPr>
        <w:t>cztą elektroniczną na następujący adres korespondencyjny Wykonawcy:</w:t>
      </w:r>
      <w:r>
        <w:rPr>
          <w:rFonts w:asciiTheme="minorHAnsi" w:hAnsiTheme="minorHAnsi" w:cstheme="minorHAnsi"/>
        </w:rPr>
        <w:t xml:space="preserve"> ………..</w:t>
      </w:r>
    </w:p>
    <w:p w14:paraId="40BA68DC" w14:textId="77777777" w:rsidR="007F7E43" w:rsidRDefault="009A7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Wykonawca zapewnia, że dostęp do skrzynki elektronicznej wskazanej w §3 ust.1 jest odpowiednio zabezpieczony i ograniczony do osób zobowiązanych do zachowania poufności zgodnie z </w:t>
      </w:r>
      <w:r>
        <w:rPr>
          <w:rFonts w:asciiTheme="minorHAnsi" w:hAnsiTheme="minorHAnsi" w:cstheme="minorHAnsi"/>
          <w:sz w:val="22"/>
          <w:szCs w:val="22"/>
        </w:rPr>
        <w:t xml:space="preserve">zapisami niniejszej umowy. </w:t>
      </w:r>
    </w:p>
    <w:p w14:paraId="4A55A680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2E14987" w14:textId="77777777" w:rsidR="007F7E43" w:rsidRDefault="007F7E43">
      <w:pPr>
        <w:jc w:val="both"/>
        <w:rPr>
          <w:rStyle w:val="czeinternetow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7CE8F65" w14:textId="77777777" w:rsidR="007F7E43" w:rsidRDefault="009A724F">
      <w:pPr>
        <w:tabs>
          <w:tab w:val="left" w:pos="20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14:paraId="3A5FD6E1" w14:textId="77777777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zgodnie oświadczają, że za terminowe i należyte wykonanie przez Wykonawcę przedmiotu niniejszej umowy,  Wykonawca otrzyma wynagrodzenie ryczałtowe w wysokości             netto plus należny podatek VAT tj. kwotę w w</w:t>
      </w:r>
      <w:r>
        <w:rPr>
          <w:rFonts w:asciiTheme="minorHAnsi" w:hAnsiTheme="minorHAnsi" w:cstheme="minorHAnsi"/>
          <w:sz w:val="22"/>
          <w:szCs w:val="22"/>
        </w:rPr>
        <w:t xml:space="preserve">ysokości                      brutto.  </w:t>
      </w:r>
    </w:p>
    <w:p w14:paraId="09C350A1" w14:textId="77777777" w:rsidR="007F7E43" w:rsidRDefault="009A724F">
      <w:pPr>
        <w:pStyle w:val="Tekstpodstawowy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Wynagrodzenie określone w ustępie 1 obejmuje całość wynagrodzenia należnego za: </w:t>
      </w:r>
    </w:p>
    <w:p w14:paraId="24F8F0A1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przez Wykonawcę wszelkich świadczeń, do spełnienia których zobowiązany jest na podstawie postanowień niniejszej umowy, w tym</w:t>
      </w:r>
      <w:r>
        <w:rPr>
          <w:rFonts w:asciiTheme="minorHAnsi" w:hAnsiTheme="minorHAnsi" w:cstheme="minorHAnsi"/>
          <w:sz w:val="22"/>
          <w:szCs w:val="22"/>
        </w:rPr>
        <w:t xml:space="preserve"> za dostarczenie Zamawiającemu Raportów z Wyceny w uzgodnionej formie i terminie. </w:t>
      </w:r>
    </w:p>
    <w:p w14:paraId="7D34168B" w14:textId="77777777" w:rsidR="007F7E43" w:rsidRDefault="009A724F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przez Wykonawcę na Zamawiającego wszelkich praw wynikających z niniejszej umowy na wszelkich polach eksploatacji, w tym przeniesienie w pełnym zakresie autorsk</w:t>
      </w:r>
      <w:r>
        <w:rPr>
          <w:rFonts w:asciiTheme="minorHAnsi" w:hAnsiTheme="minorHAnsi" w:cstheme="minorHAnsi"/>
          <w:sz w:val="22"/>
          <w:szCs w:val="22"/>
        </w:rPr>
        <w:t>ich praw majątkowych i praw zależnych do Raportów z Wyceny.</w:t>
      </w:r>
    </w:p>
    <w:p w14:paraId="271899D8" w14:textId="77777777" w:rsidR="007F7E43" w:rsidRDefault="007F7E43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14:paraId="75D2B973" w14:textId="77777777" w:rsidR="007F7E43" w:rsidRDefault="009A724F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14:paraId="302163A5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Zrealizowanie przez Wykonawcę całości prac stanowiących przedmiot niniejszej umowy nastąpi poprzez przekazanie przez Wykonawcę Zamawiającemu pisemnych Raportów, o którym mowa w §1 ust. 3 lit. c niniejszej umowy podpisanych na każdej stronie przez Wykonawcę</w:t>
      </w:r>
      <w:r>
        <w:rPr>
          <w:rFonts w:asciiTheme="minorHAnsi" w:hAnsiTheme="minorHAnsi" w:cstheme="minorHAnsi"/>
          <w:sz w:val="22"/>
          <w:szCs w:val="22"/>
        </w:rPr>
        <w:t xml:space="preserve">. Przekazanie nastąpi najpóźniej drugiego dnia po upływie terminu wyceny ustalonego w umowie i zgodnego z ofertą Wykonawcy złożoną w odpowiedzi na zapytanie ofertowe. </w:t>
      </w:r>
    </w:p>
    <w:p w14:paraId="0BF875F4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Najpóźniej na dwa dni przed upływem terminu wykonywania prac objętych niniejszą umową, W</w:t>
      </w:r>
      <w:r>
        <w:rPr>
          <w:rFonts w:asciiTheme="minorHAnsi" w:hAnsiTheme="minorHAnsi" w:cstheme="minorHAnsi"/>
          <w:sz w:val="22"/>
          <w:szCs w:val="22"/>
        </w:rPr>
        <w:t>ykonawca przekaże Zamawiającemu tymczasową elektroniczną wersję Raportów w celu weryfikacji. Jeżeli Raporty zostaną dostarczone bez usterek i wad oraz będą pod względem merytorycznym i formalnym zgodne z postanowieniami niniejszej umowy, stanem prawnym i f</w:t>
      </w:r>
      <w:r>
        <w:rPr>
          <w:rFonts w:asciiTheme="minorHAnsi" w:hAnsiTheme="minorHAnsi" w:cstheme="minorHAnsi"/>
          <w:sz w:val="22"/>
          <w:szCs w:val="22"/>
        </w:rPr>
        <w:t>aktycznym obowiązującym w dniu ich wykonania oraz standardami obowiązującymi w tym zakresie, Zamawiający zaakceptuje Raporty, dokonując protokolarnego przyjęcia w terminie do trzech dni od jego dostarczenia. Dokonanie przez Zamawiającego akceptacji Raportó</w:t>
      </w:r>
      <w:r>
        <w:rPr>
          <w:rFonts w:asciiTheme="minorHAnsi" w:hAnsiTheme="minorHAnsi" w:cstheme="minorHAnsi"/>
          <w:sz w:val="22"/>
          <w:szCs w:val="22"/>
        </w:rPr>
        <w:t xml:space="preserve">w, o którym mowa powyżej, nie ogranicza w żaden sposób odpowiedzialności Wykonawcy za nienależyte wykonanie niniejszej umowy, ani też z tytułu rękojmi. </w:t>
      </w:r>
    </w:p>
    <w:p w14:paraId="55D1D048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do trzech dni od dnia dostarczenia wersji elektronicznej Raportów, Zamawiający może wezwać W</w:t>
      </w:r>
      <w:r>
        <w:rPr>
          <w:rFonts w:asciiTheme="minorHAnsi" w:hAnsiTheme="minorHAnsi" w:cstheme="minorHAnsi"/>
          <w:sz w:val="22"/>
          <w:szCs w:val="22"/>
        </w:rPr>
        <w:t>ykonawcę do usunięcia dostrzeżonych usterek i wad Raportów przekazując stosowne wezwanie za pośrednictwem poczty e-mail na adres określony w ust. 9, a Wykonawca zobowiązuje się usunąć usterki i wady niezwłocznie. Brak wezwania do usunięcia dostrzeżonych us</w:t>
      </w:r>
      <w:r>
        <w:rPr>
          <w:rFonts w:asciiTheme="minorHAnsi" w:hAnsiTheme="minorHAnsi" w:cstheme="minorHAnsi"/>
          <w:sz w:val="22"/>
          <w:szCs w:val="22"/>
        </w:rPr>
        <w:t>terek i wad wersji elektronicznej Raportów w ww. terminie nie ogranicza odpowiedzialności Wykonawcy za nienależyte wykonanie umowy, ani z tytułu rękojmi</w:t>
      </w:r>
    </w:p>
    <w:p w14:paraId="6D302E4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Wykonawcy z tytułu wykonania przedmiotu niniejszej umowy w wysokości ……………………………… netto p</w:t>
      </w:r>
      <w:r>
        <w:rPr>
          <w:rFonts w:asciiTheme="minorHAnsi" w:hAnsiTheme="minorHAnsi" w:cstheme="minorHAnsi"/>
          <w:sz w:val="22"/>
          <w:szCs w:val="22"/>
        </w:rPr>
        <w:t>lus 23% VAT, tj. .………………..…………….. brutto, zostanie zapłacone przez Zamawiającego w terminie 14 dni od dnia dostarczenia przez Wykonawcę faktury VAT.</w:t>
      </w:r>
    </w:p>
    <w:p w14:paraId="6C6D1923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Wynagrodzenie określone w ustępie 4 będzie płatne przelewem na konto Wykonawcy: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…………………………….……………………………………….. ………………………………………………………………………………………………………………………………………………</w:t>
      </w:r>
    </w:p>
    <w:p w14:paraId="306A338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wystawienia faktury VAT przez Wykonawcę jest protokół przyjęcia Raportów podpisany bez uwag przez Zamawiającego. </w:t>
      </w:r>
    </w:p>
    <w:p w14:paraId="754867FC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Przekazanie Zamawiającemu przez Wykonawcę wersji</w:t>
      </w:r>
      <w:r>
        <w:rPr>
          <w:rFonts w:asciiTheme="minorHAnsi" w:hAnsiTheme="minorHAnsi" w:cstheme="minorHAnsi"/>
          <w:sz w:val="22"/>
          <w:szCs w:val="22"/>
        </w:rPr>
        <w:t xml:space="preserve"> papierowej Raportów, o których mowa w ustępie 1, nastąpi w siedzibie Zamawiającego lub pocztą kurierską. </w:t>
      </w:r>
    </w:p>
    <w:p w14:paraId="75CA1E7D" w14:textId="77777777" w:rsidR="007F7E43" w:rsidRDefault="009A724F">
      <w:pPr>
        <w:pStyle w:val="Tekstpodstawowy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 oświadcza, że jest (nie jest) płatnikiem VAT. Przez datę dokonania zapłaty Strony uznają dzień uznania rachunku bankowego Wykonawcy. </w:t>
      </w:r>
    </w:p>
    <w:p w14:paraId="660089A2" w14:textId="77777777" w:rsidR="007F7E43" w:rsidRDefault="009A724F">
      <w:pPr>
        <w:pStyle w:val="Tekstpodstawowy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bieżących kontaktach Strony reprezentować będą:</w:t>
      </w:r>
    </w:p>
    <w:p w14:paraId="3DACFF2B" w14:textId="77777777" w:rsidR="007F7E43" w:rsidRDefault="009A724F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ze strony Zleceniodawcy –      Janusz Ludwik Gaca – janusz.gaca@upwr.edu.pl</w:t>
      </w:r>
    </w:p>
    <w:p w14:paraId="30C5DD01" w14:textId="77777777" w:rsidR="007F7E43" w:rsidRDefault="007F7E43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C34AC" w14:textId="77777777" w:rsidR="007F7E43" w:rsidRDefault="009A724F">
      <w:pPr>
        <w:pStyle w:val="Tekstpodstawowy"/>
        <w:spacing w:before="0" w:after="0" w:line="24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ab/>
        <w:t xml:space="preserve">ze strony Wykonawcy – 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1">
        <w:r>
          <w:rPr>
            <w:rStyle w:val="ListLabel14"/>
          </w:rPr>
          <w:t>………………………………………………………………………</w:t>
        </w:r>
      </w:hyperlink>
    </w:p>
    <w:p w14:paraId="1C3D8500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2414A8" w14:textId="77777777" w:rsidR="007F7E43" w:rsidRDefault="009A724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6 </w:t>
      </w:r>
    </w:p>
    <w:p w14:paraId="2639720F" w14:textId="77777777" w:rsidR="007F7E43" w:rsidRDefault="007F7E4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D97B33" w14:textId="77777777" w:rsidR="007F7E43" w:rsidRDefault="009A724F">
      <w:pPr>
        <w:pStyle w:val="Tekstpodstawowy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zmiany niniejszej </w:t>
      </w:r>
      <w:r>
        <w:rPr>
          <w:rFonts w:asciiTheme="minorHAnsi" w:hAnsiTheme="minorHAnsi" w:cstheme="minorHAnsi"/>
          <w:sz w:val="22"/>
          <w:szCs w:val="22"/>
        </w:rPr>
        <w:t>umowy wymagają pod rygorem nieważności formy pisemnego aneksu podpisanego przez strony.</w:t>
      </w:r>
    </w:p>
    <w:p w14:paraId="415EA3B1" w14:textId="77777777" w:rsidR="009B048D" w:rsidRDefault="009B048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6580D86" w14:textId="3D9612DE" w:rsidR="007F7E43" w:rsidRDefault="009A724F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7</w:t>
      </w:r>
    </w:p>
    <w:p w14:paraId="1B0B97C9" w14:textId="77777777" w:rsidR="007F7E43" w:rsidRDefault="007F7E43">
      <w:pPr>
        <w:widowControl w:val="0"/>
        <w:tabs>
          <w:tab w:val="left" w:pos="204"/>
        </w:tabs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26CAC626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niniejszą umową mają odpowiednie zastosowanie przepisy Kodeksu cywilnego oraz ustawy o prawie autorskim i prawach pokrewnych.</w:t>
      </w:r>
    </w:p>
    <w:p w14:paraId="4C206843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Sprawy sporne których nie uda się rozstrzygnąć w drodze polubownych porozumień będą rozstrzygane przez sąd właściwy miejscowo dla siedziby Zamawiającego.  </w:t>
      </w:r>
    </w:p>
    <w:p w14:paraId="124C9E9F" w14:textId="77777777" w:rsidR="007F7E43" w:rsidRDefault="009A724F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czterech jednobrzmiących egzemplarzach, po dwa dla każdej ze Stron.</w:t>
      </w:r>
    </w:p>
    <w:p w14:paraId="206DE9CB" w14:textId="77777777" w:rsidR="007F7E43" w:rsidRDefault="007F7E43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AED4C8" w14:textId="77777777" w:rsidR="007F7E43" w:rsidRDefault="009A724F">
      <w:pPr>
        <w:widowControl w:val="0"/>
        <w:tabs>
          <w:tab w:val="left" w:pos="1134"/>
          <w:tab w:val="left" w:pos="6804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5525D3CC" w14:textId="77777777" w:rsidR="007F7E43" w:rsidRDefault="009A724F">
      <w:pPr>
        <w:widowControl w:val="0"/>
        <w:tabs>
          <w:tab w:val="left" w:pos="426"/>
          <w:tab w:val="left" w:pos="6096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>………………….…………………………………..</w:t>
      </w:r>
    </w:p>
    <w:p w14:paraId="273B1C77" w14:textId="77777777" w:rsidR="007F7E43" w:rsidRDefault="007F7E43">
      <w:pPr>
        <w:widowControl w:val="0"/>
        <w:tabs>
          <w:tab w:val="left" w:pos="426"/>
          <w:tab w:val="left" w:pos="6096"/>
        </w:tabs>
        <w:spacing w:before="120" w:after="120"/>
        <w:jc w:val="both"/>
      </w:pPr>
    </w:p>
    <w:sectPr w:rsidR="007F7E43">
      <w:headerReference w:type="default" r:id="rId12"/>
      <w:footerReference w:type="default" r:id="rId13"/>
      <w:pgSz w:w="12240" w:h="15840"/>
      <w:pgMar w:top="1497" w:right="1077" w:bottom="1247" w:left="1077" w:header="1440" w:footer="709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4DDB" w14:textId="77777777" w:rsidR="00000000" w:rsidRDefault="009A724F">
      <w:r>
        <w:separator/>
      </w:r>
    </w:p>
  </w:endnote>
  <w:endnote w:type="continuationSeparator" w:id="0">
    <w:p w14:paraId="49AB548C" w14:textId="77777777" w:rsidR="00000000" w:rsidRDefault="009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9CEB" w14:textId="77777777" w:rsidR="007F7E43" w:rsidRDefault="009A724F">
    <w:pPr>
      <w:pStyle w:val="Stopka"/>
      <w:jc w:val="right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>
      <w:rPr>
        <w:rStyle w:val="Numerstrony"/>
      </w:rPr>
      <w:t>6</w:t>
    </w:r>
    <w:r>
      <w:rPr>
        <w:rStyle w:val="Numerstrony"/>
      </w:rPr>
      <w:fldChar w:fldCharType="end"/>
    </w:r>
    <w:r>
      <w:rPr>
        <w:rStyle w:val="Numerstrony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2517" w14:textId="77777777" w:rsidR="00000000" w:rsidRDefault="009A724F">
      <w:r>
        <w:separator/>
      </w:r>
    </w:p>
  </w:footnote>
  <w:footnote w:type="continuationSeparator" w:id="0">
    <w:p w14:paraId="6DE88192" w14:textId="77777777" w:rsidR="00000000" w:rsidRDefault="009A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856" w14:textId="77777777" w:rsidR="007F7E43" w:rsidRDefault="007F7E4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01886"/>
    <w:multiLevelType w:val="multilevel"/>
    <w:tmpl w:val="E30CED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2D63"/>
    <w:multiLevelType w:val="multilevel"/>
    <w:tmpl w:val="BD8A0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6E33F4"/>
    <w:multiLevelType w:val="multilevel"/>
    <w:tmpl w:val="BC56E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EFA18E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559D1ECD"/>
    <w:multiLevelType w:val="multilevel"/>
    <w:tmpl w:val="BA8C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4E2557"/>
    <w:multiLevelType w:val="multilevel"/>
    <w:tmpl w:val="8B1AE46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3B69B2"/>
    <w:multiLevelType w:val="multilevel"/>
    <w:tmpl w:val="4CB8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3"/>
    <w:rsid w:val="00721192"/>
    <w:rsid w:val="007F7E43"/>
    <w:rsid w:val="009A724F"/>
    <w:rsid w:val="009B048D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BD61"/>
  <w15:docId w15:val="{AEC3869C-B509-49D1-BFBF-082B166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886"/>
    <w:pPr>
      <w:suppressAutoHyphens/>
    </w:pPr>
    <w:rPr>
      <w:color w:val="00000A"/>
      <w:lang w:eastAsia="ar-SA"/>
    </w:rPr>
  </w:style>
  <w:style w:type="paragraph" w:styleId="Nagwek1">
    <w:name w:val="heading 1"/>
    <w:basedOn w:val="Normalny"/>
    <w:qFormat/>
    <w:rsid w:val="00372886"/>
    <w:pPr>
      <w:keepNext/>
      <w:widowControl w:val="0"/>
      <w:numPr>
        <w:numId w:val="1"/>
      </w:numPr>
      <w:spacing w:before="120" w:after="120"/>
      <w:ind w:left="360" w:firstLine="0"/>
      <w:jc w:val="both"/>
      <w:outlineLvl w:val="0"/>
    </w:pPr>
    <w:rPr>
      <w:sz w:val="24"/>
    </w:rPr>
  </w:style>
  <w:style w:type="paragraph" w:styleId="Nagwek2">
    <w:name w:val="heading 2"/>
    <w:basedOn w:val="Normalny"/>
    <w:qFormat/>
    <w:rsid w:val="00372886"/>
    <w:pPr>
      <w:keepNext/>
      <w:widowControl w:val="0"/>
      <w:numPr>
        <w:ilvl w:val="1"/>
        <w:numId w:val="1"/>
      </w:numPr>
      <w:spacing w:before="120" w:after="120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372886"/>
    <w:rPr>
      <w:b w:val="0"/>
    </w:rPr>
  </w:style>
  <w:style w:type="character" w:customStyle="1" w:styleId="WW8Num12z0">
    <w:name w:val="WW8Num12z0"/>
    <w:qFormat/>
    <w:rsid w:val="00372886"/>
    <w:rPr>
      <w:b w:val="0"/>
    </w:rPr>
  </w:style>
  <w:style w:type="character" w:customStyle="1" w:styleId="Domylnaczcionkaakapitu1">
    <w:name w:val="Domyślna czcionka akapitu1"/>
    <w:qFormat/>
    <w:rsid w:val="00372886"/>
  </w:style>
  <w:style w:type="character" w:customStyle="1" w:styleId="WW-Absatz-Standardschriftart">
    <w:name w:val="WW-Absatz-Standardschriftart"/>
    <w:qFormat/>
    <w:rsid w:val="00372886"/>
  </w:style>
  <w:style w:type="character" w:customStyle="1" w:styleId="WW-Absatz-Standardschriftart1">
    <w:name w:val="WW-Absatz-Standardschriftart1"/>
    <w:qFormat/>
    <w:rsid w:val="00372886"/>
  </w:style>
  <w:style w:type="character" w:customStyle="1" w:styleId="WW-Absatz-Standardschriftart11">
    <w:name w:val="WW-Absatz-Standardschriftart11"/>
    <w:qFormat/>
    <w:rsid w:val="00372886"/>
  </w:style>
  <w:style w:type="character" w:customStyle="1" w:styleId="WW8Num5z2">
    <w:name w:val="WW8Num5z2"/>
    <w:qFormat/>
    <w:rsid w:val="00372886"/>
    <w:rPr>
      <w:rFonts w:ascii="Wingdings" w:hAnsi="Wingdings"/>
    </w:rPr>
  </w:style>
  <w:style w:type="character" w:customStyle="1" w:styleId="WW8Num10z1">
    <w:name w:val="WW8Num10z1"/>
    <w:qFormat/>
    <w:rsid w:val="00372886"/>
    <w:rPr>
      <w:rFonts w:ascii="Symbol" w:hAnsi="Symbol"/>
      <w:sz w:val="20"/>
    </w:rPr>
  </w:style>
  <w:style w:type="character" w:customStyle="1" w:styleId="WW8Num15z0">
    <w:name w:val="WW8Num15z0"/>
    <w:qFormat/>
    <w:rsid w:val="00372886"/>
    <w:rPr>
      <w:rFonts w:ascii="Symbol" w:hAnsi="Symbol"/>
    </w:rPr>
  </w:style>
  <w:style w:type="character" w:customStyle="1" w:styleId="WW8Num15z1">
    <w:name w:val="WW8Num15z1"/>
    <w:qFormat/>
    <w:rsid w:val="00372886"/>
    <w:rPr>
      <w:rFonts w:ascii="Symbol" w:hAnsi="Symbol"/>
      <w:sz w:val="20"/>
    </w:rPr>
  </w:style>
  <w:style w:type="character" w:customStyle="1" w:styleId="WW8Num24z2">
    <w:name w:val="WW8Num24z2"/>
    <w:qFormat/>
    <w:rsid w:val="00372886"/>
    <w:rPr>
      <w:rFonts w:ascii="Wingdings" w:hAnsi="Wingdings"/>
    </w:rPr>
  </w:style>
  <w:style w:type="character" w:customStyle="1" w:styleId="WW8Num31z0">
    <w:name w:val="WW8Num31z0"/>
    <w:qFormat/>
    <w:rsid w:val="00372886"/>
    <w:rPr>
      <w:rFonts w:ascii="Symbol" w:hAnsi="Symbol"/>
    </w:rPr>
  </w:style>
  <w:style w:type="character" w:customStyle="1" w:styleId="WW8Num31z1">
    <w:name w:val="WW8Num31z1"/>
    <w:qFormat/>
    <w:rsid w:val="00372886"/>
    <w:rPr>
      <w:rFonts w:ascii="Courier New" w:hAnsi="Courier New"/>
    </w:rPr>
  </w:style>
  <w:style w:type="character" w:customStyle="1" w:styleId="WW8Num31z2">
    <w:name w:val="WW8Num31z2"/>
    <w:qFormat/>
    <w:rsid w:val="00372886"/>
    <w:rPr>
      <w:rFonts w:ascii="Wingdings" w:hAnsi="Wingdings"/>
    </w:rPr>
  </w:style>
  <w:style w:type="character" w:customStyle="1" w:styleId="WW8NumSt13z0">
    <w:name w:val="WW8NumSt13z0"/>
    <w:qFormat/>
    <w:rsid w:val="00372886"/>
    <w:rPr>
      <w:rFonts w:ascii="Symbol" w:hAnsi="Symbol"/>
    </w:rPr>
  </w:style>
  <w:style w:type="character" w:customStyle="1" w:styleId="WW-Domylnaczcionkaakapitu">
    <w:name w:val="WW-Domyślna czcionka akapitu"/>
    <w:qFormat/>
    <w:rsid w:val="00372886"/>
  </w:style>
  <w:style w:type="character" w:styleId="Numerstrony">
    <w:name w:val="page number"/>
    <w:basedOn w:val="WW-Domylnaczcionkaakapitu"/>
    <w:qFormat/>
    <w:rsid w:val="00372886"/>
  </w:style>
  <w:style w:type="character" w:customStyle="1" w:styleId="TekstdymkaZnak">
    <w:name w:val="Tekst dymka Znak"/>
    <w:basedOn w:val="WW-Domylnaczcionkaakapitu"/>
    <w:qFormat/>
    <w:rsid w:val="0037288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1"/>
    <w:rsid w:val="00372886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qFormat/>
    <w:rsid w:val="00372886"/>
  </w:style>
  <w:style w:type="character" w:customStyle="1" w:styleId="Znakiprzypiswdolnych">
    <w:name w:val="Znaki przypisów dolnych"/>
    <w:basedOn w:val="Domylnaczcionkaakapitu1"/>
    <w:qFormat/>
    <w:rsid w:val="00372886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72886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372886"/>
    <w:rPr>
      <w:vertAlign w:val="superscript"/>
    </w:rPr>
  </w:style>
  <w:style w:type="character" w:customStyle="1" w:styleId="Znakiprzypiswkocowych">
    <w:name w:val="Znaki przypisów końcowych"/>
    <w:qFormat/>
    <w:rsid w:val="0037288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26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264D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264D"/>
    <w:rPr>
      <w:b/>
      <w:bCs/>
      <w:lang w:eastAsia="ar-SA"/>
    </w:rPr>
  </w:style>
  <w:style w:type="character" w:customStyle="1" w:styleId="ListLabel1">
    <w:name w:val="ListLabel 1"/>
    <w:qFormat/>
    <w:rPr>
      <w:rFonts w:asciiTheme="minorHAnsi" w:hAnsiTheme="minorHAnsi" w:cstheme="minorHAnsi"/>
      <w:sz w:val="22"/>
      <w:szCs w:val="22"/>
    </w:rPr>
  </w:style>
  <w:style w:type="character" w:customStyle="1" w:styleId="ListLabel2">
    <w:name w:val="ListLabel 2"/>
    <w:qFormat/>
    <w:rPr>
      <w:rFonts w:asciiTheme="minorHAnsi" w:hAnsiTheme="minorHAnsi" w:cstheme="minorHAnsi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Calibri" w:hAnsi="Calibri"/>
      <w:sz w:val="22"/>
      <w:szCs w:val="22"/>
    </w:rPr>
  </w:style>
  <w:style w:type="character" w:customStyle="1" w:styleId="ListLabel11">
    <w:name w:val="ListLabel 11"/>
    <w:qFormat/>
    <w:rPr>
      <w:rFonts w:ascii="Calibri" w:hAnsi="Calibri"/>
      <w:sz w:val="22"/>
      <w:szCs w:val="22"/>
    </w:rPr>
  </w:style>
  <w:style w:type="character" w:customStyle="1" w:styleId="ListLabel12">
    <w:name w:val="ListLabel 12"/>
    <w:qFormat/>
    <w:rPr>
      <w:rFonts w:ascii="Calibri" w:hAnsi="Calibri"/>
      <w:sz w:val="22"/>
      <w:szCs w:val="22"/>
    </w:rPr>
  </w:style>
  <w:style w:type="character" w:customStyle="1" w:styleId="ListLabel13">
    <w:name w:val="ListLabel 13"/>
    <w:qFormat/>
    <w:rPr>
      <w:rFonts w:ascii="Calibri" w:hAnsi="Calibri"/>
      <w:sz w:val="22"/>
      <w:szCs w:val="22"/>
    </w:rPr>
  </w:style>
  <w:style w:type="character" w:customStyle="1" w:styleId="ListLabel14">
    <w:name w:val="ListLabel 14"/>
    <w:qFormat/>
    <w:rPr>
      <w:rFonts w:asciiTheme="minorHAnsi" w:hAnsiTheme="minorHAnsi" w:cstheme="minorHAnsi"/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</w:style>
  <w:style w:type="paragraph" w:styleId="Nagwek">
    <w:name w:val="header"/>
    <w:basedOn w:val="Normalny"/>
    <w:next w:val="Tekstpodstawowy"/>
    <w:rsid w:val="00372886"/>
  </w:style>
  <w:style w:type="paragraph" w:styleId="Tekstpodstawowy">
    <w:name w:val="Body Text"/>
    <w:basedOn w:val="Normalny"/>
    <w:rsid w:val="00372886"/>
    <w:pPr>
      <w:widowControl w:val="0"/>
      <w:spacing w:before="120" w:after="120" w:line="360" w:lineRule="auto"/>
    </w:pPr>
    <w:rPr>
      <w:sz w:val="24"/>
    </w:rPr>
  </w:style>
  <w:style w:type="paragraph" w:styleId="Lista">
    <w:name w:val="List"/>
    <w:basedOn w:val="Tekstpodstawowy"/>
    <w:rsid w:val="0037288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886"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rsid w:val="00372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qFormat/>
    <w:rsid w:val="003728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odpis1">
    <w:name w:val="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">
    <w:name w:val="WW-Nagłówek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372886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372886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qFormat/>
    <w:rsid w:val="003728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rsid w:val="00372886"/>
  </w:style>
  <w:style w:type="paragraph" w:styleId="Tekstpodstawowywcity">
    <w:name w:val="Body Text Indent"/>
    <w:basedOn w:val="Normalny"/>
    <w:rsid w:val="00372886"/>
    <w:pPr>
      <w:widowControl w:val="0"/>
      <w:spacing w:before="120" w:after="120"/>
      <w:jc w:val="both"/>
    </w:pPr>
    <w:rPr>
      <w:sz w:val="22"/>
    </w:rPr>
  </w:style>
  <w:style w:type="paragraph" w:customStyle="1" w:styleId="FR3">
    <w:name w:val="FR3"/>
    <w:qFormat/>
    <w:rsid w:val="00372886"/>
    <w:pPr>
      <w:widowControl w:val="0"/>
      <w:suppressAutoHyphens/>
      <w:spacing w:line="300" w:lineRule="auto"/>
      <w:ind w:firstLine="160"/>
      <w:jc w:val="both"/>
    </w:pPr>
    <w:rPr>
      <w:rFonts w:ascii="Arial" w:eastAsia="Arial" w:hAnsi="Arial"/>
      <w:color w:val="00000A"/>
      <w:sz w:val="16"/>
      <w:lang w:eastAsia="ar-SA"/>
    </w:rPr>
  </w:style>
  <w:style w:type="paragraph" w:customStyle="1" w:styleId="WW-Zwykytekst">
    <w:name w:val="WW-Zwykły tekst"/>
    <w:basedOn w:val="Normalny"/>
    <w:qFormat/>
    <w:rsid w:val="00372886"/>
    <w:rPr>
      <w:rFonts w:ascii="Courier New" w:hAnsi="Courier New"/>
    </w:rPr>
  </w:style>
  <w:style w:type="paragraph" w:customStyle="1" w:styleId="WW-Tekstkomentarza">
    <w:name w:val="WW-Tekst komentarza"/>
    <w:basedOn w:val="Normalny"/>
    <w:qFormat/>
    <w:rsid w:val="00372886"/>
  </w:style>
  <w:style w:type="paragraph" w:customStyle="1" w:styleId="WW-Tekstpodstawowy2">
    <w:name w:val="WW-Tekst podstawowy 2"/>
    <w:basedOn w:val="Normalny"/>
    <w:qFormat/>
    <w:rsid w:val="00372886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qFormat/>
    <w:rsid w:val="00372886"/>
    <w:pPr>
      <w:ind w:left="142" w:hanging="142"/>
      <w:jc w:val="both"/>
    </w:pPr>
    <w:rPr>
      <w:sz w:val="24"/>
    </w:rPr>
  </w:style>
  <w:style w:type="paragraph" w:customStyle="1" w:styleId="WW-Tekstdymka">
    <w:name w:val="WW-Tekst dymka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qFormat/>
    <w:rsid w:val="003728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886"/>
    <w:pPr>
      <w:suppressAutoHyphens w:val="0"/>
      <w:ind w:left="720"/>
    </w:pPr>
    <w:rPr>
      <w:sz w:val="24"/>
      <w:szCs w:val="24"/>
    </w:rPr>
  </w:style>
  <w:style w:type="paragraph" w:styleId="Tekstprzypisudolnego">
    <w:name w:val="footnote text"/>
    <w:basedOn w:val="Normalny"/>
    <w:rsid w:val="00372886"/>
    <w:pPr>
      <w:suppressAutoHyphens w:val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264D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A264D"/>
    <w:rPr>
      <w:b/>
      <w:bCs/>
    </w:rPr>
  </w:style>
  <w:style w:type="paragraph" w:styleId="Poprawka">
    <w:name w:val="Revision"/>
    <w:uiPriority w:val="99"/>
    <w:semiHidden/>
    <w:qFormat/>
    <w:rsid w:val="00567F86"/>
    <w:rPr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.kot@invest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1EE256E9C3F48A9D88BB4E2C9F8C2" ma:contentTypeVersion="11" ma:contentTypeDescription="Utwórz nowy dokument." ma:contentTypeScope="" ma:versionID="6d2faac4f9584449504731fab08bf49b">
  <xsd:schema xmlns:xsd="http://www.w3.org/2001/XMLSchema" xmlns:xs="http://www.w3.org/2001/XMLSchema" xmlns:p="http://schemas.microsoft.com/office/2006/metadata/properties" xmlns:ns3="38074602-3b0b-4a78-b4cf-20f41e4e7964" xmlns:ns4="5a0f0eda-3771-42e8-b865-179f531bff56" targetNamespace="http://schemas.microsoft.com/office/2006/metadata/properties" ma:root="true" ma:fieldsID="c9619fa6a3b2d7e06a8d54dbca049c79" ns3:_="" ns4:_="">
    <xsd:import namespace="38074602-3b0b-4a78-b4cf-20f41e4e7964"/>
    <xsd:import namespace="5a0f0eda-3771-42e8-b865-179f531bf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4602-3b0b-4a78-b4cf-20f41e4e7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0eda-3771-42e8-b865-179f531bf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F8C7-9B61-4576-9ED1-2428CF593B43}">
  <ds:schemaRefs>
    <ds:schemaRef ds:uri="http://purl.org/dc/elements/1.1/"/>
    <ds:schemaRef ds:uri="38074602-3b0b-4a78-b4cf-20f41e4e7964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a0f0eda-3771-42e8-b865-179f531bff56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C31ACD-C458-4685-B075-6A096349F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C7793-E4EA-450D-B35F-BFFE018D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4602-3b0b-4a78-b4cf-20f41e4e7964"/>
    <ds:schemaRef ds:uri="5a0f0eda-3771-42e8-b865-179f531bf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4FCCC-41B2-4A40-8076-949D77FA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TOSHIBA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Pelc</dc:creator>
  <dc:description/>
  <cp:lastModifiedBy>Arkadiusz Popiel</cp:lastModifiedBy>
  <cp:revision>5</cp:revision>
  <cp:lastPrinted>2019-08-01T09:54:00Z</cp:lastPrinted>
  <dcterms:created xsi:type="dcterms:W3CDTF">2020-06-01T11:32:00Z</dcterms:created>
  <dcterms:modified xsi:type="dcterms:W3CDTF">2020-06-01T11:33:00Z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ContentTypeId">
    <vt:lpwstr>0x010100D321EE256E9C3F48A9D88BB4E2C9F8C2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